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2C97" w14:textId="77777777" w:rsidR="006364E9" w:rsidRDefault="00D53753">
      <w:pPr>
        <w:spacing w:after="0" w:line="259" w:lineRule="auto"/>
        <w:ind w:left="0" w:firstLine="0"/>
      </w:pPr>
      <w:r>
        <w:rPr>
          <w:noProof/>
        </w:rPr>
        <w:drawing>
          <wp:inline distT="0" distB="0" distL="0" distR="0" wp14:anchorId="79CCC216" wp14:editId="3F3EC093">
            <wp:extent cx="1460500" cy="72644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6"/>
                    <a:stretch>
                      <a:fillRect/>
                    </a:stretch>
                  </pic:blipFill>
                  <pic:spPr>
                    <a:xfrm>
                      <a:off x="0" y="0"/>
                      <a:ext cx="1460500" cy="726440"/>
                    </a:xfrm>
                    <a:prstGeom prst="rect">
                      <a:avLst/>
                    </a:prstGeom>
                  </pic:spPr>
                </pic:pic>
              </a:graphicData>
            </a:graphic>
          </wp:inline>
        </w:drawing>
      </w:r>
      <w:r>
        <w:rPr>
          <w:rFonts w:ascii="Times New Roman" w:eastAsia="Times New Roman" w:hAnsi="Times New Roman" w:cs="Times New Roman"/>
        </w:rPr>
        <w:t xml:space="preserve"> </w:t>
      </w:r>
    </w:p>
    <w:p w14:paraId="48265AF9" w14:textId="77777777" w:rsidR="006364E9" w:rsidRDefault="00D53753">
      <w:pPr>
        <w:spacing w:after="0" w:line="259" w:lineRule="auto"/>
        <w:ind w:left="517"/>
        <w:jc w:val="center"/>
      </w:pPr>
      <w:r>
        <w:rPr>
          <w:b/>
        </w:rPr>
        <w:t xml:space="preserve">Testimony </w:t>
      </w:r>
    </w:p>
    <w:p w14:paraId="027CCC31" w14:textId="77777777" w:rsidR="006364E9" w:rsidRDefault="00D53753">
      <w:pPr>
        <w:spacing w:after="0" w:line="259" w:lineRule="auto"/>
        <w:ind w:left="517" w:right="12"/>
        <w:jc w:val="center"/>
      </w:pPr>
      <w:r>
        <w:rPr>
          <w:b/>
        </w:rPr>
        <w:t xml:space="preserve">Elizabeth Gara </w:t>
      </w:r>
    </w:p>
    <w:p w14:paraId="08B21D17" w14:textId="77777777" w:rsidR="006364E9" w:rsidRDefault="00D53753">
      <w:pPr>
        <w:spacing w:after="0" w:line="259" w:lineRule="auto"/>
        <w:ind w:left="517" w:right="12"/>
        <w:jc w:val="center"/>
      </w:pPr>
      <w:r>
        <w:rPr>
          <w:b/>
        </w:rPr>
        <w:t xml:space="preserve">Connecticut Water Works Association (CWWA) </w:t>
      </w:r>
    </w:p>
    <w:p w14:paraId="4C45A47C" w14:textId="4128A005" w:rsidR="006364E9" w:rsidRDefault="00D53753">
      <w:pPr>
        <w:spacing w:after="0" w:line="259" w:lineRule="auto"/>
        <w:ind w:left="517" w:right="15"/>
        <w:jc w:val="center"/>
      </w:pPr>
      <w:r>
        <w:rPr>
          <w:b/>
        </w:rPr>
        <w:t xml:space="preserve">Before the Environment Committee </w:t>
      </w:r>
    </w:p>
    <w:p w14:paraId="26C3F8BC" w14:textId="7DFBCC0A" w:rsidR="006364E9" w:rsidRDefault="009D3174">
      <w:pPr>
        <w:spacing w:after="257" w:line="259" w:lineRule="auto"/>
        <w:ind w:left="517" w:right="16"/>
        <w:jc w:val="center"/>
      </w:pPr>
      <w:r>
        <w:rPr>
          <w:b/>
        </w:rPr>
        <w:t>February 20, 2026</w:t>
      </w:r>
      <w:r w:rsidR="00D53753">
        <w:rPr>
          <w:b/>
        </w:rPr>
        <w:t xml:space="preserve"> </w:t>
      </w:r>
    </w:p>
    <w:p w14:paraId="33233CDF" w14:textId="5FB1A590" w:rsidR="00050E52" w:rsidRPr="00050E52" w:rsidRDefault="00D53753" w:rsidP="00050E52">
      <w:pPr>
        <w:ind w:left="-5"/>
        <w:rPr>
          <w:b/>
        </w:rPr>
      </w:pPr>
      <w:r>
        <w:t xml:space="preserve">The Connecticut Water Works Association (CWWA), a trade association of municipal, private, and regional water companies, </w:t>
      </w:r>
      <w:r>
        <w:rPr>
          <w:b/>
          <w:i/>
          <w:u w:val="single" w:color="000000"/>
        </w:rPr>
        <w:t>supports</w:t>
      </w:r>
      <w:r>
        <w:rPr>
          <w:b/>
        </w:rPr>
        <w:t xml:space="preserve"> </w:t>
      </w:r>
      <w:r w:rsidR="00507C7B">
        <w:rPr>
          <w:b/>
        </w:rPr>
        <w:t xml:space="preserve">Section 2 of </w:t>
      </w:r>
      <w:r w:rsidR="008B1404">
        <w:rPr>
          <w:b/>
        </w:rPr>
        <w:t xml:space="preserve">HB-5153, </w:t>
      </w:r>
      <w:r w:rsidR="00050E52" w:rsidRPr="00050E52">
        <w:rPr>
          <w:b/>
        </w:rPr>
        <w:t xml:space="preserve">AN ACT </w:t>
      </w:r>
      <w:r w:rsidR="008B1404">
        <w:rPr>
          <w:b/>
        </w:rPr>
        <w:t>CONCERNING MINOR REVISIONS TO DEPARTMENT OF ENERGY AND ENVIRONMENTAL PROTECTION RELATED STATUTES</w:t>
      </w:r>
      <w:r w:rsidR="00050E52" w:rsidRPr="00050E52">
        <w:rPr>
          <w:b/>
        </w:rPr>
        <w:t>.</w:t>
      </w:r>
    </w:p>
    <w:p w14:paraId="686F552F" w14:textId="6FE7EDA0" w:rsidR="0080673B" w:rsidRDefault="00507C7B" w:rsidP="00050E52">
      <w:pPr>
        <w:ind w:left="-5"/>
        <w:rPr>
          <w:bCs/>
        </w:rPr>
      </w:pPr>
      <w:r>
        <w:rPr>
          <w:bCs/>
        </w:rPr>
        <w:t xml:space="preserve">Sections 2 of HB-5153 </w:t>
      </w:r>
      <w:r w:rsidR="001F68D9">
        <w:rPr>
          <w:bCs/>
        </w:rPr>
        <w:t>clarifies th</w:t>
      </w:r>
      <w:r w:rsidR="009A365A">
        <w:rPr>
          <w:bCs/>
        </w:rPr>
        <w:t>at</w:t>
      </w:r>
      <w:r w:rsidR="00B56D2E">
        <w:rPr>
          <w:bCs/>
        </w:rPr>
        <w:t xml:space="preserve"> </w:t>
      </w:r>
      <w:r w:rsidR="004E2917">
        <w:rPr>
          <w:bCs/>
        </w:rPr>
        <w:t xml:space="preserve">land subject to </w:t>
      </w:r>
      <w:r w:rsidR="00B56D2E">
        <w:rPr>
          <w:bCs/>
        </w:rPr>
        <w:t xml:space="preserve">conservation restrictions </w:t>
      </w:r>
      <w:r w:rsidR="00BA0424">
        <w:rPr>
          <w:bCs/>
        </w:rPr>
        <w:t xml:space="preserve">set forth in the deed </w:t>
      </w:r>
      <w:r w:rsidR="000D421F">
        <w:rPr>
          <w:bCs/>
        </w:rPr>
        <w:t>may continue to be eligible for funding un</w:t>
      </w:r>
      <w:r w:rsidR="001050DB">
        <w:rPr>
          <w:bCs/>
        </w:rPr>
        <w:t>der the state’s Open Space and Watershed Land Acquisition Program (OSWA)</w:t>
      </w:r>
      <w:r w:rsidR="00F07F38">
        <w:rPr>
          <w:bCs/>
        </w:rPr>
        <w:t xml:space="preserve"> </w:t>
      </w:r>
      <w:r w:rsidR="000D421F">
        <w:rPr>
          <w:bCs/>
        </w:rPr>
        <w:t>under certain conditions. This will ensure that</w:t>
      </w:r>
      <w:r w:rsidR="008D2761">
        <w:rPr>
          <w:bCs/>
        </w:rPr>
        <w:t xml:space="preserve"> additional land parcels may be eligible for funding under the program</w:t>
      </w:r>
      <w:r w:rsidR="00A97E11">
        <w:rPr>
          <w:bCs/>
        </w:rPr>
        <w:t xml:space="preserve"> and the </w:t>
      </w:r>
      <w:r w:rsidR="00B433EC">
        <w:rPr>
          <w:bCs/>
        </w:rPr>
        <w:t xml:space="preserve">existing </w:t>
      </w:r>
      <w:r w:rsidR="00A97E11">
        <w:rPr>
          <w:bCs/>
        </w:rPr>
        <w:t xml:space="preserve">deed restrictions will be </w:t>
      </w:r>
      <w:r w:rsidR="00010567">
        <w:rPr>
          <w:bCs/>
        </w:rPr>
        <w:t xml:space="preserve">subordinate to DEEP’s conservation easement. </w:t>
      </w:r>
    </w:p>
    <w:p w14:paraId="133D2B7E" w14:textId="77777777" w:rsidR="0080673B" w:rsidRPr="0080673B" w:rsidRDefault="0080673B" w:rsidP="0080673B">
      <w:pPr>
        <w:ind w:left="-5"/>
        <w:rPr>
          <w:bCs/>
        </w:rPr>
      </w:pPr>
      <w:r w:rsidRPr="0080673B">
        <w:rPr>
          <w:bCs/>
        </w:rPr>
        <w:t>As stewards of the environment and water resources, Connecticut’s water companies are committed to providing residents and businesses with safe, high quality public water supplies at a reasonable cost. This includes developing and implementing source water protection programs to protect the purity and adequacy of Connecticut’s approximately 4,000 surface and groundwater drinking water supply sources.</w:t>
      </w:r>
    </w:p>
    <w:p w14:paraId="3F49BD43" w14:textId="77777777" w:rsidR="00C22AAD" w:rsidRDefault="00C22AAD" w:rsidP="00C22AAD">
      <w:pPr>
        <w:ind w:left="-5"/>
        <w:rPr>
          <w:bCs/>
        </w:rPr>
      </w:pPr>
      <w:r w:rsidRPr="0080673B">
        <w:rPr>
          <w:bCs/>
        </w:rPr>
        <w:t>Recognizing the critical importance of protecting Connecticut’s source waters to meet current and future drinking water demands, water companies are eligible under the state’s Open Space and Watershed Land Acquisition Grant Program for assistance in acquiring land to be classified as Class I or Class II water supply property. Such properties are preserved in perpetuity through permanent conservation easements to ensure that the property remains in pristine condition for water supply purposes.</w:t>
      </w:r>
    </w:p>
    <w:p w14:paraId="7C0B1519" w14:textId="14E78F93" w:rsidR="00A97E11" w:rsidRDefault="00A97E11" w:rsidP="00C22AAD">
      <w:pPr>
        <w:ind w:left="-5"/>
        <w:rPr>
          <w:bCs/>
        </w:rPr>
      </w:pPr>
      <w:r>
        <w:rPr>
          <w:bCs/>
        </w:rPr>
        <w:t xml:space="preserve">Thank you for your consideration. </w:t>
      </w:r>
    </w:p>
    <w:p w14:paraId="441351FB" w14:textId="77777777" w:rsidR="0080673B" w:rsidRPr="0080673B" w:rsidRDefault="0080673B" w:rsidP="0080673B">
      <w:pPr>
        <w:ind w:left="-5"/>
        <w:rPr>
          <w:bCs/>
        </w:rPr>
      </w:pPr>
    </w:p>
    <w:p w14:paraId="19120FF2" w14:textId="77777777" w:rsidR="006364E9" w:rsidRDefault="00D53753">
      <w:pPr>
        <w:spacing w:after="3083" w:line="240" w:lineRule="auto"/>
        <w:ind w:left="0" w:firstLine="0"/>
      </w:pPr>
      <w:r>
        <w:rPr>
          <w:i/>
        </w:rPr>
        <w:t xml:space="preserve">The Connecticut Water Works Association, Inc. (CWWA) is an association of private, municipal, and regional public water supply utilities serving more than 500,000 customers, or population of about 2½ million people, located throughout Connecticut.  </w:t>
      </w:r>
      <w:r>
        <w:t xml:space="preserve"> </w:t>
      </w:r>
    </w:p>
    <w:sectPr w:rsidR="006364E9">
      <w:footerReference w:type="default" r:id="rId7"/>
      <w:pgSz w:w="12240" w:h="15840"/>
      <w:pgMar w:top="720" w:right="1212"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3D192" w14:textId="77777777" w:rsidR="000D2652" w:rsidRDefault="000D2652" w:rsidP="00B433EC">
      <w:pPr>
        <w:spacing w:after="0" w:line="240" w:lineRule="auto"/>
      </w:pPr>
      <w:r>
        <w:separator/>
      </w:r>
    </w:p>
  </w:endnote>
  <w:endnote w:type="continuationSeparator" w:id="0">
    <w:p w14:paraId="028A8117" w14:textId="77777777" w:rsidR="000D2652" w:rsidRDefault="000D2652" w:rsidP="00B43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FF60" w14:textId="77777777" w:rsidR="00B433EC" w:rsidRDefault="00B433EC" w:rsidP="00B433EC">
    <w:pPr>
      <w:spacing w:after="0" w:line="259" w:lineRule="auto"/>
      <w:ind w:left="129" w:firstLine="0"/>
      <w:jc w:val="center"/>
    </w:pPr>
    <w:r>
      <w:rPr>
        <w:color w:val="000080"/>
        <w:sz w:val="20"/>
      </w:rPr>
      <w:t xml:space="preserve">1245 Farmington Ave., Suite 103 </w:t>
    </w:r>
    <w:r>
      <w:rPr>
        <w:rFonts w:ascii="Wingdings 2" w:eastAsia="Wingdings 2" w:hAnsi="Wingdings 2" w:cs="Wingdings 2"/>
        <w:color w:val="000080"/>
        <w:sz w:val="20"/>
      </w:rPr>
      <w:t></w:t>
    </w:r>
    <w:r>
      <w:rPr>
        <w:color w:val="000080"/>
        <w:sz w:val="20"/>
      </w:rPr>
      <w:t xml:space="preserve"> West Hartford, CT 06107 </w:t>
    </w:r>
    <w:r>
      <w:rPr>
        <w:rFonts w:ascii="Wingdings 2" w:eastAsia="Wingdings 2" w:hAnsi="Wingdings 2" w:cs="Wingdings 2"/>
        <w:color w:val="000080"/>
        <w:sz w:val="20"/>
      </w:rPr>
      <w:t></w:t>
    </w:r>
    <w:r>
      <w:rPr>
        <w:color w:val="000080"/>
        <w:sz w:val="20"/>
      </w:rPr>
      <w:t xml:space="preserve"> Tel. 860-841-7350 </w:t>
    </w:r>
    <w:r>
      <w:rPr>
        <w:rFonts w:ascii="Wingdings 2" w:eastAsia="Wingdings 2" w:hAnsi="Wingdings 2" w:cs="Wingdings 2"/>
        <w:color w:val="000080"/>
        <w:sz w:val="20"/>
      </w:rPr>
      <w:t></w:t>
    </w:r>
    <w:r>
      <w:rPr>
        <w:color w:val="000080"/>
        <w:sz w:val="20"/>
      </w:rPr>
      <w:t xml:space="preserve"> www.cwwa.org </w:t>
    </w:r>
  </w:p>
  <w:p w14:paraId="535311E9" w14:textId="77777777" w:rsidR="00B433EC" w:rsidRDefault="00B43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92A52" w14:textId="77777777" w:rsidR="000D2652" w:rsidRDefault="000D2652" w:rsidP="00B433EC">
      <w:pPr>
        <w:spacing w:after="0" w:line="240" w:lineRule="auto"/>
      </w:pPr>
      <w:r>
        <w:separator/>
      </w:r>
    </w:p>
  </w:footnote>
  <w:footnote w:type="continuationSeparator" w:id="0">
    <w:p w14:paraId="20768200" w14:textId="77777777" w:rsidR="000D2652" w:rsidRDefault="000D2652" w:rsidP="00B433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4E9"/>
    <w:rsid w:val="00010567"/>
    <w:rsid w:val="000332F7"/>
    <w:rsid w:val="00050E52"/>
    <w:rsid w:val="000758BD"/>
    <w:rsid w:val="000D2652"/>
    <w:rsid w:val="000D421F"/>
    <w:rsid w:val="00100FC6"/>
    <w:rsid w:val="001050DB"/>
    <w:rsid w:val="001112B0"/>
    <w:rsid w:val="00166777"/>
    <w:rsid w:val="001667B0"/>
    <w:rsid w:val="001F68D9"/>
    <w:rsid w:val="001F6C10"/>
    <w:rsid w:val="002121AB"/>
    <w:rsid w:val="002361D6"/>
    <w:rsid w:val="002651FE"/>
    <w:rsid w:val="00345428"/>
    <w:rsid w:val="00387492"/>
    <w:rsid w:val="003A7978"/>
    <w:rsid w:val="003F0202"/>
    <w:rsid w:val="0041588F"/>
    <w:rsid w:val="00420B45"/>
    <w:rsid w:val="00431B63"/>
    <w:rsid w:val="00434CCA"/>
    <w:rsid w:val="00460E1F"/>
    <w:rsid w:val="004E25D1"/>
    <w:rsid w:val="004E2917"/>
    <w:rsid w:val="00507C7B"/>
    <w:rsid w:val="00516D63"/>
    <w:rsid w:val="00524B6A"/>
    <w:rsid w:val="0056336C"/>
    <w:rsid w:val="005A6555"/>
    <w:rsid w:val="005B7E88"/>
    <w:rsid w:val="005D6BE5"/>
    <w:rsid w:val="00614CFC"/>
    <w:rsid w:val="006364E9"/>
    <w:rsid w:val="006605E6"/>
    <w:rsid w:val="00674555"/>
    <w:rsid w:val="00692C76"/>
    <w:rsid w:val="0074617D"/>
    <w:rsid w:val="007A5B05"/>
    <w:rsid w:val="0080673B"/>
    <w:rsid w:val="008178AC"/>
    <w:rsid w:val="00822541"/>
    <w:rsid w:val="0088011C"/>
    <w:rsid w:val="0088196B"/>
    <w:rsid w:val="00882D21"/>
    <w:rsid w:val="008934BB"/>
    <w:rsid w:val="008B1404"/>
    <w:rsid w:val="008C5F9A"/>
    <w:rsid w:val="008D2761"/>
    <w:rsid w:val="008D448A"/>
    <w:rsid w:val="009221CE"/>
    <w:rsid w:val="00963903"/>
    <w:rsid w:val="00963AFC"/>
    <w:rsid w:val="00971F0E"/>
    <w:rsid w:val="009A2D83"/>
    <w:rsid w:val="009A365A"/>
    <w:rsid w:val="009B7949"/>
    <w:rsid w:val="009D0FED"/>
    <w:rsid w:val="009D3174"/>
    <w:rsid w:val="00A86332"/>
    <w:rsid w:val="00A97E11"/>
    <w:rsid w:val="00AE1893"/>
    <w:rsid w:val="00B02C85"/>
    <w:rsid w:val="00B36651"/>
    <w:rsid w:val="00B42F07"/>
    <w:rsid w:val="00B433EC"/>
    <w:rsid w:val="00B56D2E"/>
    <w:rsid w:val="00B772C1"/>
    <w:rsid w:val="00B96026"/>
    <w:rsid w:val="00B963A7"/>
    <w:rsid w:val="00BA0424"/>
    <w:rsid w:val="00BA2185"/>
    <w:rsid w:val="00C22AAD"/>
    <w:rsid w:val="00C77FB3"/>
    <w:rsid w:val="00C918BE"/>
    <w:rsid w:val="00CE2E53"/>
    <w:rsid w:val="00CF1260"/>
    <w:rsid w:val="00D53753"/>
    <w:rsid w:val="00D97014"/>
    <w:rsid w:val="00DA5FF9"/>
    <w:rsid w:val="00DD04CD"/>
    <w:rsid w:val="00E84A8E"/>
    <w:rsid w:val="00E97F72"/>
    <w:rsid w:val="00ED619E"/>
    <w:rsid w:val="00EF0B93"/>
    <w:rsid w:val="00EF3E0C"/>
    <w:rsid w:val="00F07F38"/>
    <w:rsid w:val="00F71DE9"/>
    <w:rsid w:val="00FC2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322D8"/>
  <w15:docId w15:val="{43DCF4CC-DE27-4EDD-AE00-8E94C0CE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9" w:line="250"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3EC"/>
    <w:rPr>
      <w:rFonts w:ascii="Calibri" w:eastAsia="Calibri" w:hAnsi="Calibri" w:cs="Calibri"/>
      <w:color w:val="000000"/>
    </w:rPr>
  </w:style>
  <w:style w:type="paragraph" w:styleId="Footer">
    <w:name w:val="footer"/>
    <w:basedOn w:val="Normal"/>
    <w:link w:val="FooterChar"/>
    <w:uiPriority w:val="99"/>
    <w:unhideWhenUsed/>
    <w:rsid w:val="00B43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3E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287</Words>
  <Characters>1709</Characters>
  <Application>Microsoft Office Word</Application>
  <DocSecurity>0</DocSecurity>
  <Lines>29</Lines>
  <Paragraphs>11</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Elizabeth Gara</dc:creator>
  <cp:keywords/>
  <cp:lastModifiedBy>Elizabeth Gara</cp:lastModifiedBy>
  <cp:revision>26</cp:revision>
  <dcterms:created xsi:type="dcterms:W3CDTF">2026-02-19T18:30:00Z</dcterms:created>
  <dcterms:modified xsi:type="dcterms:W3CDTF">2026-02-19T21:34:00Z</dcterms:modified>
</cp:coreProperties>
</file>